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C436D73" w:rsidR="00F92268" w:rsidRPr="00FF66BF" w:rsidRDefault="00C87A66" w:rsidP="00F246C7">
            <w:pPr>
              <w:pStyle w:val="RefTableHeader"/>
            </w:pPr>
            <w:r>
              <w:t>2212-A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0FD5EB0" w:rsidR="004B15BB" w:rsidRPr="00756ECD" w:rsidRDefault="00C87A66" w:rsidP="007E5C16">
      <w:pPr>
        <w:pStyle w:val="Heading1"/>
      </w:pPr>
      <w:r w:rsidRPr="00756ECD">
        <w:t>Specialty Guideline Management</w:t>
      </w:r>
      <w:r w:rsidR="008C54D9" w:rsidRPr="00756ECD">
        <w:br/>
      </w:r>
      <w:r w:rsidRPr="00756ECD">
        <w:t>Cabometyx</w:t>
      </w:r>
    </w:p>
    <w:p w14:paraId="3425279B" w14:textId="31A5A2C3" w:rsidR="00354C8E" w:rsidRPr="00BD1CC1" w:rsidRDefault="00354C8E" w:rsidP="00354C8E">
      <w:pPr>
        <w:pStyle w:val="Heading2"/>
      </w:pPr>
      <w:r w:rsidRPr="00BD1CC1">
        <w:t>Products Referenced by this Document</w:t>
      </w:r>
    </w:p>
    <w:p w14:paraId="106D241A" w14:textId="7E0F2928" w:rsidR="00354C8E" w:rsidRDefault="00354C8E" w:rsidP="00354C8E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8878B4" w:rsidRPr="008878B4">
        <w:t>Over</w:t>
      </w:r>
      <w:r w:rsidR="005448E7">
        <w:t>-</w:t>
      </w:r>
      <w:r w:rsidR="008878B4" w:rsidRPr="008878B4">
        <w:t>the</w:t>
      </w:r>
      <w:r w:rsidR="005448E7">
        <w:t>-</w:t>
      </w:r>
      <w:r w:rsidR="008878B4" w:rsidRPr="008878B4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661760" w:rsidRPr="00BD1CC1" w14:paraId="773CB849" w14:textId="77777777" w:rsidTr="005F786D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711567FD" w14:textId="77777777" w:rsidR="00661760" w:rsidRPr="00BD1CC1" w:rsidRDefault="00661760" w:rsidP="005F786D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5D433B09" w14:textId="77777777" w:rsidR="00661760" w:rsidRPr="00BD1CC1" w:rsidRDefault="00661760" w:rsidP="005F786D">
            <w:pPr>
              <w:pStyle w:val="TableHeader"/>
            </w:pPr>
            <w:r w:rsidRPr="00BD1CC1">
              <w:t>Generic Name</w:t>
            </w:r>
          </w:p>
        </w:tc>
      </w:tr>
      <w:tr w:rsidR="00661760" w:rsidRPr="00BD1CC1" w14:paraId="4658C1FB" w14:textId="77777777" w:rsidTr="005F786D">
        <w:trPr>
          <w:cantSplit/>
        </w:trPr>
        <w:tc>
          <w:tcPr>
            <w:tcW w:w="5265" w:type="dxa"/>
          </w:tcPr>
          <w:p w14:paraId="6F76B790" w14:textId="4C705BD2" w:rsidR="00661760" w:rsidRPr="00BD1CC1" w:rsidRDefault="00174BF9" w:rsidP="005F786D">
            <w:pPr>
              <w:pStyle w:val="TableDataUnpadded"/>
            </w:pPr>
            <w:r w:rsidRPr="00174BF9">
              <w:t>Cabometyx</w:t>
            </w:r>
          </w:p>
        </w:tc>
        <w:tc>
          <w:tcPr>
            <w:tcW w:w="5595" w:type="dxa"/>
          </w:tcPr>
          <w:p w14:paraId="386CF0A5" w14:textId="5BCF2968" w:rsidR="00661760" w:rsidRPr="00BD1CC1" w:rsidRDefault="00174BF9" w:rsidP="005F786D">
            <w:pPr>
              <w:pStyle w:val="TableDataUnpadded"/>
            </w:pPr>
            <w:r w:rsidRPr="00174BF9">
              <w:t>cabozantinib</w:t>
            </w:r>
          </w:p>
        </w:tc>
      </w:tr>
    </w:tbl>
    <w:p w14:paraId="14CE6108" w14:textId="7A52E282" w:rsidR="00FC1AAD" w:rsidRPr="00756ECD" w:rsidRDefault="00ED052F" w:rsidP="00AA2A94">
      <w:pPr>
        <w:pStyle w:val="Heading2"/>
        <w:tabs>
          <w:tab w:val="left" w:pos="9540"/>
        </w:tabs>
      </w:pPr>
      <w:r w:rsidRPr="00756ECD">
        <w:t>Indications</w:t>
      </w:r>
    </w:p>
    <w:p w14:paraId="5A4AA419" w14:textId="1442C7A8" w:rsidR="00C87A66" w:rsidRPr="00C87A66" w:rsidRDefault="00C87A66" w:rsidP="00C87A66">
      <w:pPr>
        <w:pStyle w:val="BodyText"/>
      </w:pPr>
      <w:r w:rsidRPr="00C87A6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24E6A14D" w14:textId="3C962844" w:rsidR="00C87A66" w:rsidRDefault="00ED052F" w:rsidP="00ED052F">
      <w:pPr>
        <w:pStyle w:val="Heading3"/>
        <w:keepNext w:val="0"/>
      </w:pPr>
      <w:r w:rsidRPr="00BD1CC1">
        <w:t>FDA-approved Indications</w:t>
      </w:r>
      <w:r w:rsidR="00C87A66" w:rsidRPr="007A6A11">
        <w:rPr>
          <w:vertAlign w:val="superscript"/>
        </w:rPr>
        <w:t>1</w:t>
      </w:r>
    </w:p>
    <w:p w14:paraId="134B5687" w14:textId="64795DF2" w:rsidR="00ED052F" w:rsidRDefault="00C87A66" w:rsidP="00C87A66">
      <w:pPr>
        <w:pStyle w:val="BodyText"/>
      </w:pPr>
      <w:r w:rsidRPr="00C87A66">
        <w:t>Cabometyx is indicated for the treatment of patients with:</w:t>
      </w:r>
    </w:p>
    <w:p w14:paraId="5BBCAD20" w14:textId="77777777" w:rsidR="00C87A66" w:rsidRDefault="00C87A66" w:rsidP="00C87A66">
      <w:pPr>
        <w:pStyle w:val="ListParagraph"/>
      </w:pPr>
      <w:r>
        <w:t>Advanced renal cell carcinoma (RCC)</w:t>
      </w:r>
    </w:p>
    <w:p w14:paraId="704A94B7" w14:textId="1F16004E" w:rsidR="00C87A66" w:rsidRDefault="00C87A66" w:rsidP="00C87A66">
      <w:pPr>
        <w:pStyle w:val="ListParagraph"/>
      </w:pPr>
      <w:r>
        <w:t>Advanced renal cell carcinoma (RCC), as a first-line treatment in combination with nivolumab</w:t>
      </w:r>
    </w:p>
    <w:p w14:paraId="7838267D" w14:textId="77777777" w:rsidR="00C87A66" w:rsidRDefault="00C87A66" w:rsidP="00C87A66">
      <w:pPr>
        <w:pStyle w:val="ListParagraph"/>
      </w:pPr>
      <w:r>
        <w:t>Hepatocellular carcinoma (HCC) who have been previously treated with sorafenib</w:t>
      </w:r>
    </w:p>
    <w:p w14:paraId="3058A5F8" w14:textId="67D5690C" w:rsidR="005C778C" w:rsidRDefault="00C87A66" w:rsidP="00255903">
      <w:pPr>
        <w:pStyle w:val="ListParagraph"/>
      </w:pPr>
      <w:r>
        <w:t>Locally advanced or metastatic differentiated thyroid cancer (DTC) that has progressed following prior VEGFR-targeted therapy and who are radioactive iodine-refractory or ineligible (adult and pediatric patients 12 years of age and older)</w:t>
      </w:r>
    </w:p>
    <w:p w14:paraId="2E9A6991" w14:textId="390C5494" w:rsidR="00313A18" w:rsidRDefault="00C04D18" w:rsidP="00255903">
      <w:pPr>
        <w:pStyle w:val="ListParagraph"/>
      </w:pPr>
      <w:r>
        <w:t>Previously treated, unresectable, l</w:t>
      </w:r>
      <w:r w:rsidR="008F61CA">
        <w:t>ocally advanced or metastatic, well-differentiated pancreatic neuroendocrine tumors</w:t>
      </w:r>
      <w:r>
        <w:t xml:space="preserve"> (pNET)</w:t>
      </w:r>
      <w:r w:rsidR="00DB7F3F">
        <w:t xml:space="preserve"> (adult and pediatric patients 12 years of age and older)</w:t>
      </w:r>
    </w:p>
    <w:p w14:paraId="362D385C" w14:textId="07E7D8EA" w:rsidR="00DB7F3F" w:rsidRPr="00255903" w:rsidRDefault="00C156DA" w:rsidP="00C156DA">
      <w:pPr>
        <w:pStyle w:val="ListParagraph"/>
      </w:pPr>
      <w:r w:rsidRPr="00C156DA">
        <w:t>Previously treated, unresectable, locally advanced or metastatic, well-differentiated extra-pancreatic neuroendocrine tumors (</w:t>
      </w:r>
      <w:proofErr w:type="spellStart"/>
      <w:r w:rsidRPr="00C156DA">
        <w:t>epNET</w:t>
      </w:r>
      <w:proofErr w:type="spellEnd"/>
      <w:r w:rsidRPr="00C156DA">
        <w:t>)</w:t>
      </w:r>
      <w:r>
        <w:t xml:space="preserve"> (adult and pediatric patients 12 years of age and older)</w:t>
      </w:r>
    </w:p>
    <w:p w14:paraId="0B5EC236" w14:textId="58C87E6D" w:rsidR="0044763A" w:rsidRPr="00756ECD" w:rsidRDefault="009F2EF1" w:rsidP="0044763A">
      <w:pPr>
        <w:pStyle w:val="Heading3"/>
      </w:pPr>
      <w:r>
        <w:lastRenderedPageBreak/>
        <w:t>Compendial Uses</w:t>
      </w:r>
      <w:r w:rsidR="00C87A66" w:rsidRPr="00BE4A5B">
        <w:rPr>
          <w:vertAlign w:val="superscript"/>
        </w:rPr>
        <w:t>2</w:t>
      </w:r>
    </w:p>
    <w:p w14:paraId="45CDC0C1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Relapsed or stage IV renal cell carcinoma</w:t>
      </w:r>
    </w:p>
    <w:p w14:paraId="0168923F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Non-small cell lung cancer with RET (rearranged during transfection) gene rearrangement</w:t>
      </w:r>
    </w:p>
    <w:p w14:paraId="23BF1E1B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 xml:space="preserve">Hepatocellular carcinoma as subsequent treatment </w:t>
      </w:r>
    </w:p>
    <w:p w14:paraId="75F2B385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Ewing Sarcoma</w:t>
      </w:r>
    </w:p>
    <w:p w14:paraId="7ADDE61E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Osteosarcoma</w:t>
      </w:r>
    </w:p>
    <w:p w14:paraId="2DD20B9B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Gastrointestinal Stromal Tumor (GIST)</w:t>
      </w:r>
    </w:p>
    <w:p w14:paraId="6E13F2C7" w14:textId="77777777" w:rsidR="00C87A66" w:rsidRDefault="00C87A66" w:rsidP="003E47C0">
      <w:pPr>
        <w:pStyle w:val="ListParagraph"/>
        <w:numPr>
          <w:ilvl w:val="0"/>
          <w:numId w:val="33"/>
        </w:numPr>
      </w:pPr>
      <w:r>
        <w:t>Endometrial carcinoma</w:t>
      </w:r>
    </w:p>
    <w:p w14:paraId="0C08600F" w14:textId="0E55A259" w:rsidR="00C87A66" w:rsidRDefault="00C87A66" w:rsidP="003E47C0">
      <w:pPr>
        <w:pStyle w:val="ListParagraph"/>
        <w:numPr>
          <w:ilvl w:val="0"/>
          <w:numId w:val="33"/>
        </w:numPr>
      </w:pPr>
      <w:r>
        <w:t>Soft tissue sarcoma</w:t>
      </w:r>
    </w:p>
    <w:p w14:paraId="36F19F8E" w14:textId="130E7F5B" w:rsidR="002E2B5A" w:rsidRPr="00C97325" w:rsidRDefault="002E2B5A" w:rsidP="00407E0E">
      <w:pPr>
        <w:pStyle w:val="ListParagraph"/>
        <w:numPr>
          <w:ilvl w:val="0"/>
          <w:numId w:val="33"/>
        </w:numPr>
      </w:pPr>
      <w:r>
        <w:t xml:space="preserve">Neuroendocrine </w:t>
      </w:r>
      <w:r w:rsidR="00484111">
        <w:t xml:space="preserve">and Adrenal Gland </w:t>
      </w:r>
      <w:r>
        <w:t>Tumors</w:t>
      </w:r>
    </w:p>
    <w:p w14:paraId="0D5A9DD5" w14:textId="578B6EB0" w:rsidR="009A5649" w:rsidRPr="00BD1CC1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7FF0CEE7" w:rsidR="000D2496" w:rsidRPr="00756ECD" w:rsidRDefault="000D2496" w:rsidP="000D2496">
      <w:pPr>
        <w:pStyle w:val="Heading2"/>
        <w:rPr>
          <w:rFonts w:eastAsia="Arial"/>
        </w:rPr>
      </w:pPr>
      <w:r w:rsidRPr="00BD1CC1">
        <w:t>Documentation</w:t>
      </w:r>
    </w:p>
    <w:p w14:paraId="5D0DF74A" w14:textId="7830819A" w:rsidR="00C87A66" w:rsidRPr="00C87A66" w:rsidRDefault="00C87A66" w:rsidP="00C87A66">
      <w:pPr>
        <w:pStyle w:val="BodyText"/>
      </w:pPr>
      <w:r w:rsidRPr="00C87A66">
        <w:t>Submission of RET gene rearrangement documentation is necessary to initiate the prior authorization review for the indication of non-small cell lung cancer.</w:t>
      </w:r>
    </w:p>
    <w:p w14:paraId="50A38FBA" w14:textId="543E6FC6" w:rsidR="00FE0C63" w:rsidRPr="003E47C0" w:rsidRDefault="00685107" w:rsidP="00E050E1">
      <w:pPr>
        <w:pStyle w:val="Heading2"/>
        <w:rPr>
          <w:lang w:val="it-IT"/>
        </w:rPr>
      </w:pPr>
      <w:r w:rsidRPr="003E47C0">
        <w:rPr>
          <w:lang w:val="it-IT"/>
        </w:rPr>
        <w:t>Coverage Criteria</w:t>
      </w:r>
    </w:p>
    <w:p w14:paraId="3B764613" w14:textId="2B5273D5" w:rsidR="00C87A66" w:rsidRPr="000843D6" w:rsidRDefault="00C87A66" w:rsidP="00C87A66">
      <w:pPr>
        <w:pStyle w:val="Heading3"/>
        <w:rPr>
          <w:lang w:val="it-IT"/>
        </w:rPr>
      </w:pPr>
      <w:r w:rsidRPr="000843D6">
        <w:rPr>
          <w:lang w:val="it-IT"/>
        </w:rPr>
        <w:t>Renal Cell Carcinoma</w:t>
      </w:r>
      <w:r w:rsidRPr="000843D6">
        <w:rPr>
          <w:vertAlign w:val="superscript"/>
          <w:lang w:val="it-IT"/>
        </w:rPr>
        <w:t>1,2</w:t>
      </w:r>
    </w:p>
    <w:p w14:paraId="436B296F" w14:textId="77777777" w:rsidR="00C87A66" w:rsidRPr="000843D6" w:rsidRDefault="00C87A66" w:rsidP="00C87A66">
      <w:pPr>
        <w:pStyle w:val="BodyText"/>
      </w:pPr>
      <w:r w:rsidRPr="000843D6">
        <w:t>Authorization of 12 months may be granted for treatment of advanced, relapsed, or stage IV renal cell carcinoma (including brain metastases) when used in either of the following settings:</w:t>
      </w:r>
    </w:p>
    <w:p w14:paraId="05ED0A62" w14:textId="77777777" w:rsidR="00C87A66" w:rsidRPr="000843D6" w:rsidRDefault="00C87A66" w:rsidP="009B5B5B">
      <w:pPr>
        <w:pStyle w:val="ListParagraph"/>
        <w:numPr>
          <w:ilvl w:val="0"/>
          <w:numId w:val="34"/>
        </w:numPr>
      </w:pPr>
      <w:r w:rsidRPr="000843D6">
        <w:t>As a single agent.</w:t>
      </w:r>
    </w:p>
    <w:p w14:paraId="77C7835E" w14:textId="77AB6921" w:rsidR="00C87A66" w:rsidRPr="000843D6" w:rsidRDefault="00C87A66" w:rsidP="009B5B5B">
      <w:pPr>
        <w:pStyle w:val="ListParagraph"/>
        <w:numPr>
          <w:ilvl w:val="0"/>
          <w:numId w:val="34"/>
        </w:numPr>
      </w:pPr>
      <w:r w:rsidRPr="000843D6">
        <w:t>In combination with nivolumab.</w:t>
      </w:r>
    </w:p>
    <w:p w14:paraId="0C981E29" w14:textId="0E9C08F9" w:rsidR="00C87A66" w:rsidRPr="000843D6" w:rsidRDefault="00C87A66" w:rsidP="00C87A66">
      <w:pPr>
        <w:pStyle w:val="Heading3"/>
      </w:pPr>
      <w:r w:rsidRPr="000843D6">
        <w:t>Hepatocellular Carcinoma</w:t>
      </w:r>
      <w:r w:rsidRPr="000843D6">
        <w:rPr>
          <w:vertAlign w:val="superscript"/>
        </w:rPr>
        <w:t>1,2</w:t>
      </w:r>
    </w:p>
    <w:p w14:paraId="42C9CA22" w14:textId="77777777" w:rsidR="00C87A66" w:rsidRDefault="00C87A66" w:rsidP="00C87A66">
      <w:pPr>
        <w:pStyle w:val="BodyText"/>
      </w:pPr>
      <w:r w:rsidRPr="000843D6">
        <w:t>Authorization of 12 months may be granted as a single agent for subsequent treatment of hepatocellular carcinoma.</w:t>
      </w:r>
    </w:p>
    <w:p w14:paraId="3CD7194C" w14:textId="74338BDD" w:rsidR="00C87A66" w:rsidRDefault="00C87A66" w:rsidP="00C87A66">
      <w:pPr>
        <w:pStyle w:val="Heading3"/>
      </w:pPr>
      <w:r>
        <w:t>Non-small Cell Lung Cancer</w:t>
      </w:r>
      <w:r w:rsidRPr="00EE5274">
        <w:rPr>
          <w:vertAlign w:val="superscript"/>
        </w:rPr>
        <w:t>2</w:t>
      </w:r>
    </w:p>
    <w:p w14:paraId="22F25B4B" w14:textId="7864932C" w:rsidR="00C87A66" w:rsidRDefault="00C87A66" w:rsidP="00C87A66">
      <w:pPr>
        <w:pStyle w:val="BodyText"/>
      </w:pPr>
      <w:r>
        <w:t xml:space="preserve">Authorization of 12 months may be granted as a single agent for treatment of recurrent, advanced, or metastatic non-small cell lung cancer with RET gene rearrangement </w:t>
      </w:r>
      <w:r w:rsidR="00914D9D">
        <w:t>following</w:t>
      </w:r>
      <w:r>
        <w:t xml:space="preserve"> progression on </w:t>
      </w:r>
      <w:r w:rsidR="00914D9D">
        <w:t xml:space="preserve">first-line pralsetinib (Gavreto) or </w:t>
      </w:r>
      <w:proofErr w:type="spellStart"/>
      <w:r w:rsidR="00914D9D">
        <w:t>selpercatinib</w:t>
      </w:r>
      <w:proofErr w:type="spellEnd"/>
      <w:r w:rsidR="00914D9D">
        <w:t xml:space="preserve"> (Retevmo)</w:t>
      </w:r>
      <w:r>
        <w:t>.</w:t>
      </w:r>
    </w:p>
    <w:p w14:paraId="4437FF44" w14:textId="5ED32985" w:rsidR="00C87A66" w:rsidRPr="000D5D85" w:rsidRDefault="00C87A66" w:rsidP="00C87A66">
      <w:pPr>
        <w:pStyle w:val="Heading3"/>
      </w:pPr>
      <w:r w:rsidRPr="000D5D85">
        <w:lastRenderedPageBreak/>
        <w:t>Ewing Sarcoma</w:t>
      </w:r>
      <w:r w:rsidRPr="000D5D85">
        <w:rPr>
          <w:vertAlign w:val="superscript"/>
        </w:rPr>
        <w:t>2</w:t>
      </w:r>
    </w:p>
    <w:p w14:paraId="3348A7C6" w14:textId="77777777" w:rsidR="00C87A66" w:rsidRDefault="00C87A66" w:rsidP="00C87A66">
      <w:pPr>
        <w:pStyle w:val="BodyText"/>
      </w:pPr>
      <w:r w:rsidRPr="000D5D85">
        <w:t>Authorization of 12 months may be granted for treatment of Ewing sarcoma as a single agent for    subsequent therapy.</w:t>
      </w:r>
    </w:p>
    <w:p w14:paraId="488B946E" w14:textId="0186C59A" w:rsidR="00C87A66" w:rsidRPr="000D5D85" w:rsidRDefault="00C87A66" w:rsidP="00C87A66">
      <w:pPr>
        <w:pStyle w:val="Heading3"/>
      </w:pPr>
      <w:r w:rsidRPr="000D5D85">
        <w:t>Osteosarcoma</w:t>
      </w:r>
      <w:r w:rsidRPr="000D5D85">
        <w:rPr>
          <w:vertAlign w:val="superscript"/>
        </w:rPr>
        <w:t>2</w:t>
      </w:r>
    </w:p>
    <w:p w14:paraId="2DCA17B4" w14:textId="77777777" w:rsidR="00C87A66" w:rsidRDefault="00C87A66" w:rsidP="00C87A66">
      <w:pPr>
        <w:pStyle w:val="BodyText"/>
      </w:pPr>
      <w:r w:rsidRPr="000D5D85">
        <w:t>Authorization of 12 months may be granted for treatment of osteosarcoma as a single agent for subsequent therapy.</w:t>
      </w:r>
    </w:p>
    <w:p w14:paraId="2FCE92E5" w14:textId="2A5767C8" w:rsidR="00C87A66" w:rsidRPr="000D5D85" w:rsidRDefault="00C87A66" w:rsidP="00C87A66">
      <w:pPr>
        <w:pStyle w:val="Heading3"/>
      </w:pPr>
      <w:r w:rsidRPr="000D5D85">
        <w:t>Soft Tissue Sarcoma</w:t>
      </w:r>
      <w:r w:rsidRPr="000D5D85">
        <w:rPr>
          <w:vertAlign w:val="superscript"/>
        </w:rPr>
        <w:t>2</w:t>
      </w:r>
    </w:p>
    <w:p w14:paraId="22E61EEE" w14:textId="456EFD04" w:rsidR="00C87A66" w:rsidRDefault="00C87A66" w:rsidP="00C87A66">
      <w:pPr>
        <w:pStyle w:val="BodyText"/>
      </w:pPr>
      <w:r w:rsidRPr="000D5D85">
        <w:t>Authorization of 12 months may be granted for treatment of alveolar soft part sarcoma (ASPS)</w:t>
      </w:r>
      <w:r w:rsidR="00205700" w:rsidRPr="000D5D85">
        <w:t xml:space="preserve">, epithelioid hemangioendothelioma, </w:t>
      </w:r>
      <w:r w:rsidRPr="000D5D85">
        <w:t>or extraskeletal myxoid chondrosarcoma as a single agent.</w:t>
      </w:r>
    </w:p>
    <w:p w14:paraId="578F1269" w14:textId="61BC1E03" w:rsidR="00C87A66" w:rsidRPr="000D5D85" w:rsidRDefault="00C87A66" w:rsidP="00C87A66">
      <w:pPr>
        <w:pStyle w:val="Heading3"/>
      </w:pPr>
      <w:r w:rsidRPr="000D5D85">
        <w:t>Gastrointestinal Stromal Tumor (GIST)</w:t>
      </w:r>
      <w:r w:rsidRPr="000D5D85">
        <w:rPr>
          <w:vertAlign w:val="superscript"/>
        </w:rPr>
        <w:t>2</w:t>
      </w:r>
    </w:p>
    <w:p w14:paraId="7660C899" w14:textId="77777777" w:rsidR="00756ECD" w:rsidRPr="000D5D85" w:rsidRDefault="00C87A66" w:rsidP="00C87A66">
      <w:pPr>
        <w:pStyle w:val="BodyText"/>
      </w:pPr>
      <w:r w:rsidRPr="000D5D85">
        <w:t>Authorization of 12 months may be granted for treatment of GIST when all of the following criteria are met:</w:t>
      </w:r>
    </w:p>
    <w:p w14:paraId="7C4D7DA5" w14:textId="77777777" w:rsidR="00E61ECD" w:rsidRPr="000D5D85" w:rsidRDefault="00E61ECD" w:rsidP="00C87A66">
      <w:pPr>
        <w:pStyle w:val="BodyText"/>
        <w:sectPr w:rsidR="00E61ECD" w:rsidRPr="000D5D85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7F49641D" w14:textId="7A2D756F" w:rsidR="00C87A66" w:rsidRPr="000D5D85" w:rsidRDefault="00C87A66" w:rsidP="0081118E">
      <w:pPr>
        <w:pStyle w:val="ListParagraph"/>
        <w:numPr>
          <w:ilvl w:val="0"/>
          <w:numId w:val="35"/>
        </w:numPr>
      </w:pPr>
      <w:r w:rsidRPr="000D5D85">
        <w:t xml:space="preserve">Member has residual, unresectable, </w:t>
      </w:r>
      <w:r w:rsidR="000D3041" w:rsidRPr="000D5D85">
        <w:t xml:space="preserve">tumor rupture, or </w:t>
      </w:r>
      <w:r w:rsidRPr="000D5D85">
        <w:t>recurrent</w:t>
      </w:r>
      <w:r w:rsidR="00411D9B" w:rsidRPr="000D5D85">
        <w:t>/</w:t>
      </w:r>
      <w:r w:rsidRPr="000D5D85">
        <w:t>metastatic disease</w:t>
      </w:r>
    </w:p>
    <w:p w14:paraId="3D92A7CB" w14:textId="7384246C" w:rsidR="00C87A66" w:rsidRPr="000D5D85" w:rsidRDefault="00C87A66" w:rsidP="0081118E">
      <w:pPr>
        <w:pStyle w:val="ListParagraph"/>
        <w:numPr>
          <w:ilvl w:val="0"/>
          <w:numId w:val="35"/>
        </w:numPr>
      </w:pPr>
      <w:r w:rsidRPr="000D5D85">
        <w:t xml:space="preserve">Member has failed at least four FDA-approved therapies (e.g., </w:t>
      </w:r>
      <w:proofErr w:type="spellStart"/>
      <w:r w:rsidRPr="000D5D85">
        <w:t>imatininb</w:t>
      </w:r>
      <w:proofErr w:type="spellEnd"/>
      <w:r w:rsidRPr="000D5D85">
        <w:t xml:space="preserve">, sunitinib, regorafenib, </w:t>
      </w:r>
      <w:proofErr w:type="spellStart"/>
      <w:r w:rsidRPr="000D5D85">
        <w:t>ripretinib</w:t>
      </w:r>
      <w:proofErr w:type="spellEnd"/>
      <w:r w:rsidRPr="000D5D85">
        <w:t>)</w:t>
      </w:r>
    </w:p>
    <w:p w14:paraId="3E3BE8F1" w14:textId="2F762B03" w:rsidR="00C87A66" w:rsidRPr="000D5D85" w:rsidRDefault="00C87A66" w:rsidP="0081118E">
      <w:pPr>
        <w:pStyle w:val="ListParagraph"/>
        <w:numPr>
          <w:ilvl w:val="0"/>
          <w:numId w:val="35"/>
        </w:numPr>
      </w:pPr>
      <w:r w:rsidRPr="000D5D85">
        <w:t>The requested medication will be used as a single agent</w:t>
      </w:r>
    </w:p>
    <w:p w14:paraId="715EFFCC" w14:textId="4FC66250" w:rsidR="00C87A66" w:rsidRDefault="00C87A66" w:rsidP="00756ECD">
      <w:pPr>
        <w:pStyle w:val="Heading3"/>
        <w:keepNext w:val="0"/>
      </w:pPr>
      <w:r>
        <w:t>Thyroid Carcinoma</w:t>
      </w:r>
      <w:r w:rsidRPr="000704C2">
        <w:rPr>
          <w:vertAlign w:val="superscript"/>
        </w:rPr>
        <w:t>1</w:t>
      </w:r>
    </w:p>
    <w:p w14:paraId="648829D9" w14:textId="77777777" w:rsidR="00C87A66" w:rsidRDefault="00C87A66" w:rsidP="00C87A66">
      <w:pPr>
        <w:pStyle w:val="BodyText"/>
      </w:pPr>
      <w:r>
        <w:t xml:space="preserve">Authorization of 12 months may be granted for </w:t>
      </w:r>
      <w:r w:rsidRPr="009200E0">
        <w:t>treatment of follicular, oncocytic/Hürthle cell, or papillary</w:t>
      </w:r>
      <w:r>
        <w:t xml:space="preserve"> thyroid carcinoma when all of the following criteria are met:</w:t>
      </w:r>
    </w:p>
    <w:p w14:paraId="56BA43AC" w14:textId="6886FBAE" w:rsidR="00C87A66" w:rsidRDefault="00C87A66" w:rsidP="0081118E">
      <w:pPr>
        <w:pStyle w:val="ListParagraph"/>
        <w:numPr>
          <w:ilvl w:val="0"/>
          <w:numId w:val="36"/>
        </w:numPr>
      </w:pPr>
      <w:r>
        <w:t>Member has locally advanced or metastatic disease</w:t>
      </w:r>
    </w:p>
    <w:p w14:paraId="42C2EF28" w14:textId="1D722A70" w:rsidR="00C87A66" w:rsidRDefault="00C87A66" w:rsidP="0081118E">
      <w:pPr>
        <w:pStyle w:val="ListParagraph"/>
        <w:numPr>
          <w:ilvl w:val="0"/>
          <w:numId w:val="36"/>
        </w:numPr>
      </w:pPr>
      <w:r>
        <w:t>Disease has progressed after VEGFR-targeted therapy (e.g., lenvatinib and sorafenib)</w:t>
      </w:r>
    </w:p>
    <w:p w14:paraId="4B5DAAEC" w14:textId="3FD2D790" w:rsidR="00C87A66" w:rsidRDefault="00C87A66" w:rsidP="0081118E">
      <w:pPr>
        <w:pStyle w:val="ListParagraph"/>
        <w:numPr>
          <w:ilvl w:val="0"/>
          <w:numId w:val="36"/>
        </w:numPr>
      </w:pPr>
      <w:r>
        <w:t>Disease is not amenable to radioactive iodine therapy (RAI)</w:t>
      </w:r>
    </w:p>
    <w:p w14:paraId="6372EDF5" w14:textId="16A49717" w:rsidR="00C87A66" w:rsidRDefault="00C87A66" w:rsidP="0081118E">
      <w:pPr>
        <w:pStyle w:val="ListParagraph"/>
        <w:numPr>
          <w:ilvl w:val="0"/>
          <w:numId w:val="36"/>
        </w:numPr>
      </w:pPr>
      <w:r>
        <w:t xml:space="preserve">Member is at least 12 years old </w:t>
      </w:r>
    </w:p>
    <w:p w14:paraId="1C66EB3E" w14:textId="6EC1B522" w:rsidR="00C87A66" w:rsidRDefault="00C87A66" w:rsidP="00C87A66">
      <w:pPr>
        <w:pStyle w:val="Heading3"/>
      </w:pPr>
      <w:r>
        <w:t>Endometrial Carcinoma</w:t>
      </w:r>
      <w:r w:rsidRPr="00DB63A6">
        <w:rPr>
          <w:vertAlign w:val="superscript"/>
        </w:rPr>
        <w:t>2</w:t>
      </w:r>
    </w:p>
    <w:p w14:paraId="789ED606" w14:textId="335B640B" w:rsidR="00C87A66" w:rsidRDefault="00C87A66" w:rsidP="00C87A66">
      <w:pPr>
        <w:pStyle w:val="BodyText"/>
      </w:pPr>
      <w:r>
        <w:t>Authorization of 12 months may be granted for treatment of recurrent endometrial carcinoma as a single agent for subsequent therapy.</w:t>
      </w:r>
    </w:p>
    <w:p w14:paraId="719D9C6C" w14:textId="1AF87D69" w:rsidR="00815DBF" w:rsidRPr="004F2E2D" w:rsidRDefault="001B2CEF">
      <w:pPr>
        <w:pStyle w:val="Heading3"/>
      </w:pPr>
      <w:r>
        <w:t>Neuroendocrine</w:t>
      </w:r>
      <w:r w:rsidR="00C50CBA">
        <w:t xml:space="preserve"> </w:t>
      </w:r>
      <w:r w:rsidR="002E7618">
        <w:t xml:space="preserve">and Adrenal </w:t>
      </w:r>
      <w:r w:rsidR="00C014CD">
        <w:t xml:space="preserve">Gland </w:t>
      </w:r>
      <w:r>
        <w:t>Tumor</w:t>
      </w:r>
      <w:r w:rsidR="003C2169">
        <w:t>s</w:t>
      </w:r>
      <w:r w:rsidR="004F2E2D">
        <w:rPr>
          <w:vertAlign w:val="superscript"/>
        </w:rPr>
        <w:t>1,2</w:t>
      </w:r>
    </w:p>
    <w:p w14:paraId="1CC99B9C" w14:textId="65D805A6" w:rsidR="000F3968" w:rsidRDefault="00815DBF" w:rsidP="00B154C4">
      <w:pPr>
        <w:pStyle w:val="BodyText"/>
      </w:pPr>
      <w:r>
        <w:t xml:space="preserve">Authorization of 12 months may be granted for treatment of </w:t>
      </w:r>
      <w:r w:rsidR="00E850B8">
        <w:t>ne</w:t>
      </w:r>
      <w:r w:rsidR="00B00CE9">
        <w:t>uroendocrine</w:t>
      </w:r>
      <w:r w:rsidR="00074107">
        <w:t xml:space="preserve"> and adrenal</w:t>
      </w:r>
      <w:r w:rsidR="00B00CE9">
        <w:t xml:space="preserve"> </w:t>
      </w:r>
      <w:r w:rsidR="000254A3">
        <w:t xml:space="preserve">gland </w:t>
      </w:r>
      <w:r w:rsidR="00B00CE9">
        <w:t>tumors</w:t>
      </w:r>
      <w:r w:rsidR="00571C57">
        <w:t xml:space="preserve"> for recurrent, </w:t>
      </w:r>
      <w:r w:rsidR="00E04734">
        <w:t xml:space="preserve">locoregional advanced, </w:t>
      </w:r>
      <w:r w:rsidR="00571C57">
        <w:t>u</w:t>
      </w:r>
      <w:r w:rsidR="00E04734">
        <w:t>nresectable or metastatic</w:t>
      </w:r>
      <w:r w:rsidR="00712C6E" w:rsidRPr="00342D2D">
        <w:t xml:space="preserve"> </w:t>
      </w:r>
      <w:r w:rsidR="001E66A6" w:rsidRPr="00342D2D">
        <w:t>when</w:t>
      </w:r>
      <w:r w:rsidR="005A5F28">
        <w:t xml:space="preserve"> used as a single agent.</w:t>
      </w:r>
    </w:p>
    <w:p w14:paraId="3A643EC3" w14:textId="543895E1" w:rsidR="00A501AC" w:rsidRDefault="00A501AC" w:rsidP="00756ECD">
      <w:pPr>
        <w:pStyle w:val="Heading2"/>
      </w:pPr>
      <w:r w:rsidRPr="00756ECD">
        <w:lastRenderedPageBreak/>
        <w:t>Continuation of Therapy</w:t>
      </w:r>
    </w:p>
    <w:p w14:paraId="010BD477" w14:textId="457C2275" w:rsidR="0032570F" w:rsidRPr="00B154C4" w:rsidRDefault="0032570F" w:rsidP="0032570F">
      <w:pPr>
        <w:pStyle w:val="BodyText"/>
        <w:rPr>
          <w:vertAlign w:val="superscript"/>
        </w:rPr>
      </w:pPr>
      <w:r w:rsidRPr="00FD679E">
        <w:rPr>
          <w:bCs/>
          <w:sz w:val="32"/>
          <w:szCs w:val="32"/>
        </w:rPr>
        <w:t>GIST</w:t>
      </w:r>
      <w:r w:rsidR="00025EA4" w:rsidRPr="00B154C4">
        <w:rPr>
          <w:b/>
          <w:sz w:val="32"/>
          <w:szCs w:val="32"/>
          <w:vertAlign w:val="superscript"/>
        </w:rPr>
        <w:t>2</w:t>
      </w:r>
    </w:p>
    <w:p w14:paraId="3DE27D0C" w14:textId="77777777" w:rsidR="0032570F" w:rsidRPr="005F224A" w:rsidRDefault="0032570F" w:rsidP="0032570F">
      <w:pPr>
        <w:pStyle w:val="BodyText"/>
      </w:pPr>
      <w:r w:rsidRPr="00BD152C">
        <w:t>Authorization of 12 months may be granted for continued treatment of GIST when there is no evidence of unacceptable toxicity while on the current regimen.</w:t>
      </w:r>
    </w:p>
    <w:p w14:paraId="5FA8BFAC" w14:textId="6B746127" w:rsidR="0032570F" w:rsidRDefault="0032570F" w:rsidP="0032570F">
      <w:pPr>
        <w:pStyle w:val="Heading3"/>
      </w:pPr>
      <w:r>
        <w:t>All Other Indications</w:t>
      </w:r>
    </w:p>
    <w:p w14:paraId="6994B165" w14:textId="24D18EE5" w:rsidR="0032570F" w:rsidRPr="0032570F" w:rsidRDefault="00756ECD" w:rsidP="00B154C4">
      <w:pPr>
        <w:pStyle w:val="BodyText"/>
      </w:pPr>
      <w:r w:rsidRPr="00756ECD">
        <w:t xml:space="preserve">Authorization of 12 months may be granted for continued treatment in members requesting </w:t>
      </w:r>
      <w:proofErr w:type="gramStart"/>
      <w:r w:rsidRPr="00756ECD">
        <w:t>reauthorization</w:t>
      </w:r>
      <w:proofErr w:type="gramEnd"/>
      <w:r w:rsidRPr="00756ECD">
        <w:t xml:space="preserve"> for </w:t>
      </w:r>
      <w:r w:rsidR="0032570F">
        <w:t xml:space="preserve">all other </w:t>
      </w:r>
      <w:r w:rsidRPr="00756ECD">
        <w:t>indication</w:t>
      </w:r>
      <w:r w:rsidR="0032570F">
        <w:t>s</w:t>
      </w:r>
      <w:r w:rsidRPr="00756ECD">
        <w:t xml:space="preserve"> listed in the coverage criteria when there is no evidence of unacceptable toxicity or disease progression while on the current regimen.</w:t>
      </w:r>
    </w:p>
    <w:p w14:paraId="10DA4309" w14:textId="16445401" w:rsidR="00FF66BF" w:rsidRPr="00756ECD" w:rsidRDefault="00FF66BF" w:rsidP="00756ECD">
      <w:pPr>
        <w:pStyle w:val="Heading2"/>
      </w:pPr>
      <w:r w:rsidRPr="00756ECD">
        <w:t>References</w:t>
      </w:r>
    </w:p>
    <w:p w14:paraId="1698932A" w14:textId="0A2DD5E3" w:rsidR="00756ECD" w:rsidRPr="00756ECD" w:rsidRDefault="00756ECD" w:rsidP="00756ECD">
      <w:pPr>
        <w:pStyle w:val="ReferenceOrdered"/>
      </w:pPr>
      <w:r w:rsidRPr="00756ECD">
        <w:t xml:space="preserve">Cabometyx [package insert]. Alameda, CA: Exelixis, Inc.; </w:t>
      </w:r>
      <w:r w:rsidR="0041267F">
        <w:t>March</w:t>
      </w:r>
      <w:r w:rsidR="00D6489A" w:rsidRPr="00756ECD">
        <w:t xml:space="preserve"> </w:t>
      </w:r>
      <w:r w:rsidRPr="00756ECD">
        <w:t>202</w:t>
      </w:r>
      <w:r w:rsidR="00D6489A">
        <w:t>5</w:t>
      </w:r>
      <w:r w:rsidRPr="00756ECD">
        <w:t>.</w:t>
      </w:r>
    </w:p>
    <w:p w14:paraId="76526222" w14:textId="5ECB094C" w:rsidR="00756ECD" w:rsidRPr="00756ECD" w:rsidRDefault="00756ECD" w:rsidP="00756ECD">
      <w:pPr>
        <w:pStyle w:val="ReferenceOrdered"/>
      </w:pPr>
      <w:r w:rsidRPr="00756ECD">
        <w:t>The NCCN Drugs &amp; Biologics Compendium® © 202</w:t>
      </w:r>
      <w:r w:rsidR="00D6489A">
        <w:t>5</w:t>
      </w:r>
      <w:r w:rsidRPr="00756ECD">
        <w:t xml:space="preserve"> National Comprehensive Cancer Network, Inc. http://www.nccn.org. Accessed May </w:t>
      </w:r>
      <w:r w:rsidR="00D6489A">
        <w:t>13</w:t>
      </w:r>
      <w:r w:rsidRPr="00756ECD">
        <w:t>, 202</w:t>
      </w:r>
      <w:r w:rsidR="00D6489A">
        <w:t>5</w:t>
      </w:r>
      <w:r w:rsidRPr="00756ECD">
        <w:t>.</w:t>
      </w:r>
    </w:p>
    <w:sectPr w:rsidR="00756ECD" w:rsidRPr="00756ECD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6968E" w14:textId="77777777" w:rsidR="00DF78B2" w:rsidRDefault="00DF78B2">
      <w:r>
        <w:separator/>
      </w:r>
    </w:p>
  </w:endnote>
  <w:endnote w:type="continuationSeparator" w:id="0">
    <w:p w14:paraId="20444EEE" w14:textId="77777777" w:rsidR="00DF78B2" w:rsidRDefault="00DF78B2">
      <w:r>
        <w:continuationSeparator/>
      </w:r>
    </w:p>
  </w:endnote>
  <w:endnote w:type="continuationNotice" w:id="1">
    <w:p w14:paraId="210F559C" w14:textId="77777777" w:rsidR="00DF78B2" w:rsidRDefault="00DF7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8C0228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686F" w:rsidRPr="001B686F">
      <w:rPr>
        <w:rFonts w:cs="Arial"/>
        <w:noProof/>
        <w:sz w:val="16"/>
        <w:szCs w:val="16"/>
      </w:rPr>
      <w:t>Cabometyx</w:t>
    </w:r>
    <w:r w:rsidR="001B686F">
      <w:rPr>
        <w:rFonts w:cs="Arial"/>
        <w:noProof/>
        <w:snapToGrid w:val="0"/>
        <w:color w:val="000000"/>
        <w:sz w:val="16"/>
        <w:szCs w:val="16"/>
      </w:rPr>
      <w:t xml:space="preserve"> SGM 2212-A</w:t>
    </w:r>
    <w:r w:rsidR="001B686F" w:rsidRPr="001B686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14533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D8FC16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E33444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A6A11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B686F" w:rsidRPr="001B686F">
      <w:rPr>
        <w:rFonts w:cs="Arial"/>
        <w:noProof/>
        <w:sz w:val="16"/>
        <w:szCs w:val="16"/>
        <w:lang w:val="pt-BR"/>
      </w:rPr>
      <w:t>Cabometyx</w:t>
    </w:r>
    <w:r w:rsidR="001B686F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2212-A</w:t>
    </w:r>
    <w:r w:rsidR="001B686F" w:rsidRPr="001B686F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7A6A11">
      <w:rPr>
        <w:rFonts w:cs="Arial"/>
        <w:snapToGrid w:val="0"/>
        <w:color w:val="000000"/>
        <w:sz w:val="16"/>
        <w:lang w:val="pt-BR"/>
      </w:rPr>
      <w:tab/>
      <w:t>© 202</w:t>
    </w:r>
    <w:r w:rsidR="008A1EF0">
      <w:rPr>
        <w:rFonts w:cs="Arial"/>
        <w:snapToGrid w:val="0"/>
        <w:color w:val="000000"/>
        <w:sz w:val="16"/>
        <w:lang w:val="pt-BR"/>
      </w:rPr>
      <w:t>5</w:t>
    </w:r>
    <w:r w:rsidRPr="007A6A11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92A3B7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3D1E002" w:rsidR="00ED04EC" w:rsidRPr="00F50D98" w:rsidRDefault="00F50D98" w:rsidP="003B708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79A7" w14:textId="7A994238" w:rsidR="00756ECD" w:rsidRPr="00F50D98" w:rsidRDefault="00756ECD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3F733" w14:textId="77777777" w:rsidR="00DF78B2" w:rsidRDefault="00DF78B2">
      <w:r>
        <w:separator/>
      </w:r>
    </w:p>
  </w:footnote>
  <w:footnote w:type="continuationSeparator" w:id="0">
    <w:p w14:paraId="60C61E5F" w14:textId="77777777" w:rsidR="00DF78B2" w:rsidRDefault="00DF78B2">
      <w:r>
        <w:continuationSeparator/>
      </w:r>
    </w:p>
  </w:footnote>
  <w:footnote w:type="continuationNotice" w:id="1">
    <w:p w14:paraId="1C86C7BF" w14:textId="77777777" w:rsidR="00DF78B2" w:rsidRDefault="00DF78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2F2D52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F2D5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F2D5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2F2D52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E21BEBC" w:rsidR="00ED04EC" w:rsidRPr="002F2D52" w:rsidRDefault="00756ECD" w:rsidP="00ED04EC">
          <w:pPr>
            <w:pStyle w:val="Header"/>
            <w:rPr>
              <w:rFonts w:cs="Arial"/>
              <w:sz w:val="16"/>
              <w:szCs w:val="16"/>
            </w:rPr>
          </w:pPr>
          <w:r w:rsidRPr="002F2D52">
            <w:rPr>
              <w:rFonts w:cs="Arial"/>
              <w:sz w:val="16"/>
              <w:szCs w:val="16"/>
            </w:rPr>
            <w:t>2212-A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70DD5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D6CBD"/>
    <w:multiLevelType w:val="hybridMultilevel"/>
    <w:tmpl w:val="CDA4B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0D2A5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04CE0"/>
    <w:multiLevelType w:val="hybridMultilevel"/>
    <w:tmpl w:val="E2A2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77AB6"/>
    <w:multiLevelType w:val="hybridMultilevel"/>
    <w:tmpl w:val="B88A2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F55F69"/>
    <w:multiLevelType w:val="hybridMultilevel"/>
    <w:tmpl w:val="03E60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FE7329"/>
    <w:multiLevelType w:val="hybridMultilevel"/>
    <w:tmpl w:val="642ED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125AD7"/>
    <w:multiLevelType w:val="hybridMultilevel"/>
    <w:tmpl w:val="641AC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C0EDA"/>
    <w:multiLevelType w:val="hybridMultilevel"/>
    <w:tmpl w:val="F468F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2639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807E8A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E02C0"/>
    <w:multiLevelType w:val="hybridMultilevel"/>
    <w:tmpl w:val="691AA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E2D65"/>
    <w:multiLevelType w:val="hybridMultilevel"/>
    <w:tmpl w:val="76423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5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5"/>
  </w:num>
  <w:num w:numId="17" w16cid:durableId="2128498676">
    <w:abstractNumId w:val="38"/>
  </w:num>
  <w:num w:numId="18" w16cid:durableId="299724409">
    <w:abstractNumId w:val="32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9"/>
  </w:num>
  <w:num w:numId="22" w16cid:durableId="1472481103">
    <w:abstractNumId w:val="34"/>
  </w:num>
  <w:num w:numId="23" w16cid:durableId="1997420403">
    <w:abstractNumId w:val="36"/>
  </w:num>
  <w:num w:numId="24" w16cid:durableId="33312838">
    <w:abstractNumId w:val="33"/>
  </w:num>
  <w:num w:numId="25" w16cid:durableId="507404939">
    <w:abstractNumId w:val="24"/>
  </w:num>
  <w:num w:numId="26" w16cid:durableId="1950313333">
    <w:abstractNumId w:val="30"/>
  </w:num>
  <w:num w:numId="27" w16cid:durableId="1866016584">
    <w:abstractNumId w:val="27"/>
  </w:num>
  <w:num w:numId="28" w16cid:durableId="1647464965">
    <w:abstractNumId w:val="29"/>
  </w:num>
  <w:num w:numId="29" w16cid:durableId="79914560">
    <w:abstractNumId w:val="37"/>
  </w:num>
  <w:num w:numId="30" w16cid:durableId="1603415736">
    <w:abstractNumId w:val="12"/>
  </w:num>
  <w:num w:numId="31" w16cid:durableId="425925093">
    <w:abstractNumId w:val="18"/>
  </w:num>
  <w:num w:numId="32" w16cid:durableId="2054109452">
    <w:abstractNumId w:val="23"/>
  </w:num>
  <w:num w:numId="33" w16cid:durableId="687681163">
    <w:abstractNumId w:val="15"/>
  </w:num>
  <w:num w:numId="34" w16cid:durableId="1389955621">
    <w:abstractNumId w:val="28"/>
  </w:num>
  <w:num w:numId="35" w16cid:durableId="1746493219">
    <w:abstractNumId w:val="10"/>
  </w:num>
  <w:num w:numId="36" w16cid:durableId="1243180888">
    <w:abstractNumId w:val="26"/>
  </w:num>
  <w:num w:numId="37" w16cid:durableId="91633171">
    <w:abstractNumId w:val="21"/>
  </w:num>
  <w:num w:numId="38" w16cid:durableId="620712">
    <w:abstractNumId w:val="20"/>
  </w:num>
  <w:num w:numId="39" w16cid:durableId="1428386207">
    <w:abstractNumId w:val="22"/>
  </w:num>
  <w:num w:numId="40" w16cid:durableId="1646011024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D45"/>
    <w:rsid w:val="00010FE0"/>
    <w:rsid w:val="00011D89"/>
    <w:rsid w:val="00011ED0"/>
    <w:rsid w:val="00012717"/>
    <w:rsid w:val="00012727"/>
    <w:rsid w:val="00012BCD"/>
    <w:rsid w:val="00013653"/>
    <w:rsid w:val="000141E7"/>
    <w:rsid w:val="00014533"/>
    <w:rsid w:val="000148F0"/>
    <w:rsid w:val="00014F64"/>
    <w:rsid w:val="00015ABC"/>
    <w:rsid w:val="00016A2E"/>
    <w:rsid w:val="00016ED1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709"/>
    <w:rsid w:val="00024BB4"/>
    <w:rsid w:val="00024E30"/>
    <w:rsid w:val="000254A3"/>
    <w:rsid w:val="000255D0"/>
    <w:rsid w:val="0002595C"/>
    <w:rsid w:val="00025EA4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4C2"/>
    <w:rsid w:val="00070758"/>
    <w:rsid w:val="00070C48"/>
    <w:rsid w:val="000717F6"/>
    <w:rsid w:val="00071A7F"/>
    <w:rsid w:val="0007286F"/>
    <w:rsid w:val="00074107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3D6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312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4662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1EC5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041"/>
    <w:rsid w:val="000D31D7"/>
    <w:rsid w:val="000D39D5"/>
    <w:rsid w:val="000D44C7"/>
    <w:rsid w:val="000D454D"/>
    <w:rsid w:val="000D4EA4"/>
    <w:rsid w:val="000D5101"/>
    <w:rsid w:val="000D5978"/>
    <w:rsid w:val="000D5D4B"/>
    <w:rsid w:val="000D5D85"/>
    <w:rsid w:val="000D6D03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3968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697F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0"/>
    <w:rsid w:val="00140ED6"/>
    <w:rsid w:val="00142619"/>
    <w:rsid w:val="0014405C"/>
    <w:rsid w:val="0014413C"/>
    <w:rsid w:val="00144795"/>
    <w:rsid w:val="001448D4"/>
    <w:rsid w:val="00144B23"/>
    <w:rsid w:val="00144BEB"/>
    <w:rsid w:val="0014594D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BF9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42FB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5BE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CEF"/>
    <w:rsid w:val="001B459A"/>
    <w:rsid w:val="001B4C8F"/>
    <w:rsid w:val="001B5232"/>
    <w:rsid w:val="001B686F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1E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5FA8"/>
    <w:rsid w:val="001D694B"/>
    <w:rsid w:val="001E0D36"/>
    <w:rsid w:val="001E43E4"/>
    <w:rsid w:val="001E577A"/>
    <w:rsid w:val="001E637E"/>
    <w:rsid w:val="001E66A6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ABB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700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5A0"/>
    <w:rsid w:val="00242E29"/>
    <w:rsid w:val="00242F54"/>
    <w:rsid w:val="00243017"/>
    <w:rsid w:val="0024305D"/>
    <w:rsid w:val="00244442"/>
    <w:rsid w:val="0024498F"/>
    <w:rsid w:val="00247014"/>
    <w:rsid w:val="0025011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C7B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0D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7BA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428"/>
    <w:rsid w:val="002D6987"/>
    <w:rsid w:val="002E030E"/>
    <w:rsid w:val="002E06B0"/>
    <w:rsid w:val="002E15A0"/>
    <w:rsid w:val="002E1D9A"/>
    <w:rsid w:val="002E254D"/>
    <w:rsid w:val="002E2B5A"/>
    <w:rsid w:val="002E362E"/>
    <w:rsid w:val="002E3C61"/>
    <w:rsid w:val="002E3D87"/>
    <w:rsid w:val="002E5C63"/>
    <w:rsid w:val="002E6AE1"/>
    <w:rsid w:val="002E7264"/>
    <w:rsid w:val="002E7618"/>
    <w:rsid w:val="002F1388"/>
    <w:rsid w:val="002F23BB"/>
    <w:rsid w:val="002F2822"/>
    <w:rsid w:val="002F2D52"/>
    <w:rsid w:val="002F2FA8"/>
    <w:rsid w:val="002F311C"/>
    <w:rsid w:val="002F3174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856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A18"/>
    <w:rsid w:val="00313EB3"/>
    <w:rsid w:val="00313FC5"/>
    <w:rsid w:val="00315003"/>
    <w:rsid w:val="00315D6F"/>
    <w:rsid w:val="00316DC1"/>
    <w:rsid w:val="00320271"/>
    <w:rsid w:val="00320652"/>
    <w:rsid w:val="00320BFB"/>
    <w:rsid w:val="003213DE"/>
    <w:rsid w:val="00321446"/>
    <w:rsid w:val="00322EB1"/>
    <w:rsid w:val="00323534"/>
    <w:rsid w:val="003242E2"/>
    <w:rsid w:val="003254F4"/>
    <w:rsid w:val="0032570F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D2D"/>
    <w:rsid w:val="00343BE2"/>
    <w:rsid w:val="00343E90"/>
    <w:rsid w:val="00345D48"/>
    <w:rsid w:val="003468AA"/>
    <w:rsid w:val="00346D5D"/>
    <w:rsid w:val="00346FA2"/>
    <w:rsid w:val="00347C02"/>
    <w:rsid w:val="00347FD1"/>
    <w:rsid w:val="003509CF"/>
    <w:rsid w:val="00350DF1"/>
    <w:rsid w:val="003524E5"/>
    <w:rsid w:val="00352959"/>
    <w:rsid w:val="00352B5E"/>
    <w:rsid w:val="00352BC7"/>
    <w:rsid w:val="003543BE"/>
    <w:rsid w:val="00354AE7"/>
    <w:rsid w:val="00354C8E"/>
    <w:rsid w:val="00354CFD"/>
    <w:rsid w:val="00355509"/>
    <w:rsid w:val="00355DCF"/>
    <w:rsid w:val="003569BC"/>
    <w:rsid w:val="003608FE"/>
    <w:rsid w:val="00360F75"/>
    <w:rsid w:val="00361AEE"/>
    <w:rsid w:val="00362CE9"/>
    <w:rsid w:val="00363A06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4A3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087"/>
    <w:rsid w:val="003B7B3C"/>
    <w:rsid w:val="003B7DE9"/>
    <w:rsid w:val="003C1EA0"/>
    <w:rsid w:val="003C2169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203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F3B"/>
    <w:rsid w:val="003E47C0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2F9D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07E0E"/>
    <w:rsid w:val="0041023B"/>
    <w:rsid w:val="0041061B"/>
    <w:rsid w:val="00411195"/>
    <w:rsid w:val="00411413"/>
    <w:rsid w:val="00411798"/>
    <w:rsid w:val="00411D9B"/>
    <w:rsid w:val="0041267F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1FD6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5E5"/>
    <w:rsid w:val="00444A6A"/>
    <w:rsid w:val="00444B71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31F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111"/>
    <w:rsid w:val="0048493C"/>
    <w:rsid w:val="004849F7"/>
    <w:rsid w:val="0048525A"/>
    <w:rsid w:val="00485715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804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3D4B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2A8C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2E2D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0F4C"/>
    <w:rsid w:val="0054123C"/>
    <w:rsid w:val="00542E88"/>
    <w:rsid w:val="005444CF"/>
    <w:rsid w:val="005448E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098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10F"/>
    <w:rsid w:val="00571574"/>
    <w:rsid w:val="00571A2E"/>
    <w:rsid w:val="00571C57"/>
    <w:rsid w:val="005724E9"/>
    <w:rsid w:val="005728E0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5F28"/>
    <w:rsid w:val="005A65E6"/>
    <w:rsid w:val="005A6B14"/>
    <w:rsid w:val="005A7161"/>
    <w:rsid w:val="005A7312"/>
    <w:rsid w:val="005A742F"/>
    <w:rsid w:val="005A7736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5B9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924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37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1DF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B49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BBB"/>
    <w:rsid w:val="00660EDA"/>
    <w:rsid w:val="00660FCF"/>
    <w:rsid w:val="00661760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9F4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A2"/>
    <w:rsid w:val="00706FB2"/>
    <w:rsid w:val="00707218"/>
    <w:rsid w:val="007074F5"/>
    <w:rsid w:val="00707DEE"/>
    <w:rsid w:val="00711A79"/>
    <w:rsid w:val="007125BE"/>
    <w:rsid w:val="0071294F"/>
    <w:rsid w:val="00712C6E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2C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6ECD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32EB"/>
    <w:rsid w:val="00785111"/>
    <w:rsid w:val="00785A2E"/>
    <w:rsid w:val="007860BA"/>
    <w:rsid w:val="00786EFB"/>
    <w:rsid w:val="007876BF"/>
    <w:rsid w:val="00787FE9"/>
    <w:rsid w:val="007908C6"/>
    <w:rsid w:val="007912A7"/>
    <w:rsid w:val="00792898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6A11"/>
    <w:rsid w:val="007A7386"/>
    <w:rsid w:val="007A7861"/>
    <w:rsid w:val="007B01B5"/>
    <w:rsid w:val="007B0229"/>
    <w:rsid w:val="007B0BFE"/>
    <w:rsid w:val="007B1B62"/>
    <w:rsid w:val="007B1C22"/>
    <w:rsid w:val="007B24BC"/>
    <w:rsid w:val="007B35A9"/>
    <w:rsid w:val="007B3C6A"/>
    <w:rsid w:val="007B41A6"/>
    <w:rsid w:val="007B4652"/>
    <w:rsid w:val="007B4FD7"/>
    <w:rsid w:val="007B5F56"/>
    <w:rsid w:val="007B7B09"/>
    <w:rsid w:val="007B7C01"/>
    <w:rsid w:val="007C01AA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49B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9A2"/>
    <w:rsid w:val="00807556"/>
    <w:rsid w:val="0080765B"/>
    <w:rsid w:val="00807D21"/>
    <w:rsid w:val="008104B8"/>
    <w:rsid w:val="00810748"/>
    <w:rsid w:val="008109CA"/>
    <w:rsid w:val="0081118E"/>
    <w:rsid w:val="00811BBE"/>
    <w:rsid w:val="00812036"/>
    <w:rsid w:val="008137C4"/>
    <w:rsid w:val="00813D9B"/>
    <w:rsid w:val="008140EC"/>
    <w:rsid w:val="00814A2D"/>
    <w:rsid w:val="00815DBF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5532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5AD7"/>
    <w:rsid w:val="00840008"/>
    <w:rsid w:val="008409AE"/>
    <w:rsid w:val="00840EA7"/>
    <w:rsid w:val="008428E1"/>
    <w:rsid w:val="00842D83"/>
    <w:rsid w:val="00842F87"/>
    <w:rsid w:val="008432CC"/>
    <w:rsid w:val="00843CE4"/>
    <w:rsid w:val="0084425F"/>
    <w:rsid w:val="008445A6"/>
    <w:rsid w:val="00844E79"/>
    <w:rsid w:val="008465D2"/>
    <w:rsid w:val="00846B0C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1E5A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8B4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1EF0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A82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2610"/>
    <w:rsid w:val="008C30A0"/>
    <w:rsid w:val="008C3173"/>
    <w:rsid w:val="008C3DF1"/>
    <w:rsid w:val="008C42FB"/>
    <w:rsid w:val="008C45B6"/>
    <w:rsid w:val="008C54D9"/>
    <w:rsid w:val="008C5E4C"/>
    <w:rsid w:val="008D0F23"/>
    <w:rsid w:val="008D18FB"/>
    <w:rsid w:val="008D1B34"/>
    <w:rsid w:val="008D2B93"/>
    <w:rsid w:val="008D31AD"/>
    <w:rsid w:val="008D3802"/>
    <w:rsid w:val="008D4FA5"/>
    <w:rsid w:val="008D57F5"/>
    <w:rsid w:val="008D5871"/>
    <w:rsid w:val="008D5BCA"/>
    <w:rsid w:val="008E07BA"/>
    <w:rsid w:val="008E0BDD"/>
    <w:rsid w:val="008E0F0D"/>
    <w:rsid w:val="008E0F4E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8BA"/>
    <w:rsid w:val="008F4B96"/>
    <w:rsid w:val="008F53E8"/>
    <w:rsid w:val="008F58D0"/>
    <w:rsid w:val="008F5B6A"/>
    <w:rsid w:val="008F5F59"/>
    <w:rsid w:val="008F61CA"/>
    <w:rsid w:val="008F640B"/>
    <w:rsid w:val="008F79F2"/>
    <w:rsid w:val="008F7B57"/>
    <w:rsid w:val="00901189"/>
    <w:rsid w:val="00902019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4D9D"/>
    <w:rsid w:val="009159E4"/>
    <w:rsid w:val="009166D3"/>
    <w:rsid w:val="00916BA8"/>
    <w:rsid w:val="009200E0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3C9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158B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23C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066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52A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5B5B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510"/>
    <w:rsid w:val="009D2D63"/>
    <w:rsid w:val="009D37DA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9E7"/>
    <w:rsid w:val="009E1F57"/>
    <w:rsid w:val="009E20EB"/>
    <w:rsid w:val="009E489A"/>
    <w:rsid w:val="009E4EB9"/>
    <w:rsid w:val="009E5212"/>
    <w:rsid w:val="009E6C19"/>
    <w:rsid w:val="009E6CFF"/>
    <w:rsid w:val="009E6E2F"/>
    <w:rsid w:val="009E72FE"/>
    <w:rsid w:val="009E76F4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59AA"/>
    <w:rsid w:val="009F6192"/>
    <w:rsid w:val="009F672D"/>
    <w:rsid w:val="009F67C2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74F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2DA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7F7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02D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E73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8CA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758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AF724B"/>
    <w:rsid w:val="00B00963"/>
    <w:rsid w:val="00B00CE9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4C4"/>
    <w:rsid w:val="00B154FE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914"/>
    <w:rsid w:val="00B54B31"/>
    <w:rsid w:val="00B55FE1"/>
    <w:rsid w:val="00B569FC"/>
    <w:rsid w:val="00B57430"/>
    <w:rsid w:val="00B574C8"/>
    <w:rsid w:val="00B57C0E"/>
    <w:rsid w:val="00B61ED0"/>
    <w:rsid w:val="00B6319D"/>
    <w:rsid w:val="00B63787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4A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469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A5B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4CD"/>
    <w:rsid w:val="00C01BFA"/>
    <w:rsid w:val="00C01C2E"/>
    <w:rsid w:val="00C024FD"/>
    <w:rsid w:val="00C02901"/>
    <w:rsid w:val="00C02F81"/>
    <w:rsid w:val="00C04410"/>
    <w:rsid w:val="00C04991"/>
    <w:rsid w:val="00C04C79"/>
    <w:rsid w:val="00C04D18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6DA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913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0CBA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0A4"/>
    <w:rsid w:val="00C64534"/>
    <w:rsid w:val="00C64859"/>
    <w:rsid w:val="00C65465"/>
    <w:rsid w:val="00C65502"/>
    <w:rsid w:val="00C675EB"/>
    <w:rsid w:val="00C676EA"/>
    <w:rsid w:val="00C700FE"/>
    <w:rsid w:val="00C71254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A66"/>
    <w:rsid w:val="00C87C25"/>
    <w:rsid w:val="00C87D04"/>
    <w:rsid w:val="00C903CD"/>
    <w:rsid w:val="00C9046D"/>
    <w:rsid w:val="00C904DC"/>
    <w:rsid w:val="00C9240B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23F4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94F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0A2"/>
    <w:rsid w:val="00D56213"/>
    <w:rsid w:val="00D566EA"/>
    <w:rsid w:val="00D56FC3"/>
    <w:rsid w:val="00D578A8"/>
    <w:rsid w:val="00D6162B"/>
    <w:rsid w:val="00D64807"/>
    <w:rsid w:val="00D6489A"/>
    <w:rsid w:val="00D6549B"/>
    <w:rsid w:val="00D65533"/>
    <w:rsid w:val="00D665CC"/>
    <w:rsid w:val="00D67252"/>
    <w:rsid w:val="00D67835"/>
    <w:rsid w:val="00D70C19"/>
    <w:rsid w:val="00D71176"/>
    <w:rsid w:val="00D71FF6"/>
    <w:rsid w:val="00D728D1"/>
    <w:rsid w:val="00D72E79"/>
    <w:rsid w:val="00D74279"/>
    <w:rsid w:val="00D75533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E82"/>
    <w:rsid w:val="00D97119"/>
    <w:rsid w:val="00D974E4"/>
    <w:rsid w:val="00D97A46"/>
    <w:rsid w:val="00D97B49"/>
    <w:rsid w:val="00DA05D5"/>
    <w:rsid w:val="00DA0924"/>
    <w:rsid w:val="00DA0A2F"/>
    <w:rsid w:val="00DA29A1"/>
    <w:rsid w:val="00DA2BE1"/>
    <w:rsid w:val="00DA3D4A"/>
    <w:rsid w:val="00DA420D"/>
    <w:rsid w:val="00DA52B5"/>
    <w:rsid w:val="00DA5901"/>
    <w:rsid w:val="00DA5F0A"/>
    <w:rsid w:val="00DA640C"/>
    <w:rsid w:val="00DA6BAC"/>
    <w:rsid w:val="00DA7269"/>
    <w:rsid w:val="00DB0090"/>
    <w:rsid w:val="00DB05BF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3A6"/>
    <w:rsid w:val="00DB6413"/>
    <w:rsid w:val="00DB657E"/>
    <w:rsid w:val="00DB6683"/>
    <w:rsid w:val="00DB7693"/>
    <w:rsid w:val="00DB7825"/>
    <w:rsid w:val="00DB793D"/>
    <w:rsid w:val="00DB7F3F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8B2"/>
    <w:rsid w:val="00DF7FFE"/>
    <w:rsid w:val="00E00661"/>
    <w:rsid w:val="00E01E80"/>
    <w:rsid w:val="00E02122"/>
    <w:rsid w:val="00E0384C"/>
    <w:rsid w:val="00E04264"/>
    <w:rsid w:val="00E046C3"/>
    <w:rsid w:val="00E04734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76F"/>
    <w:rsid w:val="00E449A7"/>
    <w:rsid w:val="00E45C1A"/>
    <w:rsid w:val="00E4640D"/>
    <w:rsid w:val="00E46738"/>
    <w:rsid w:val="00E46A0A"/>
    <w:rsid w:val="00E47A32"/>
    <w:rsid w:val="00E5021D"/>
    <w:rsid w:val="00E50D6A"/>
    <w:rsid w:val="00E521C7"/>
    <w:rsid w:val="00E525F8"/>
    <w:rsid w:val="00E52B34"/>
    <w:rsid w:val="00E53F83"/>
    <w:rsid w:val="00E54271"/>
    <w:rsid w:val="00E5515A"/>
    <w:rsid w:val="00E552B0"/>
    <w:rsid w:val="00E5585F"/>
    <w:rsid w:val="00E55E39"/>
    <w:rsid w:val="00E55E94"/>
    <w:rsid w:val="00E5648B"/>
    <w:rsid w:val="00E56F98"/>
    <w:rsid w:val="00E60126"/>
    <w:rsid w:val="00E61AD9"/>
    <w:rsid w:val="00E61ECD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6FAC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B8"/>
    <w:rsid w:val="00E850F3"/>
    <w:rsid w:val="00E8686D"/>
    <w:rsid w:val="00E86A27"/>
    <w:rsid w:val="00E87749"/>
    <w:rsid w:val="00E87B42"/>
    <w:rsid w:val="00E87C7C"/>
    <w:rsid w:val="00E913B8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480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2"/>
    <w:rsid w:val="00ED052F"/>
    <w:rsid w:val="00ED0E29"/>
    <w:rsid w:val="00ED28C4"/>
    <w:rsid w:val="00ED334E"/>
    <w:rsid w:val="00ED3A2A"/>
    <w:rsid w:val="00ED5E09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274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978"/>
    <w:rsid w:val="00F043C9"/>
    <w:rsid w:val="00F04FA6"/>
    <w:rsid w:val="00F0554B"/>
    <w:rsid w:val="00F05FBF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59C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2A22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56F"/>
    <w:rsid w:val="00F56998"/>
    <w:rsid w:val="00F56BBE"/>
    <w:rsid w:val="00F57390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05AF"/>
    <w:rsid w:val="00F90C93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4B9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0FFA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EC6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1777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BA923A-F01F-4EED-BFB8-C501B32B953C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eb403b6b-7b96-4fe7-afcc-b3d44ddfb7d8"/>
    <ds:schemaRef ds:uri="7757c461-07c7-44e1-99a5-77c6cc8be592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Cabometyx SGM 2212-A</vt:lpstr>
    </vt:vector>
  </TitlesOfParts>
  <Company>CVS Caremark</Company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Cabometyx SGM 2212-A</dc:title>
  <dc:subject>Cabometyx SGM 2212-A</dc:subject>
  <dc:creator>CVS Caremark</dc:creator>
  <cp:keywords/>
  <cp:lastModifiedBy>Reynoso, Victor H</cp:lastModifiedBy>
  <cp:revision>7</cp:revision>
  <cp:lastPrinted>2018-01-09T11:01:00Z</cp:lastPrinted>
  <dcterms:created xsi:type="dcterms:W3CDTF">2025-07-29T16:15:00Z</dcterms:created>
  <dcterms:modified xsi:type="dcterms:W3CDTF">2025-08-01T13:47:00Z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12862200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